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5457" w:type="dxa"/>
        <w:tblInd w:w="0" w:type="dxa"/>
        <w:shd w:val="clear"/>
        <w:tblLayout w:type="autofit"/>
        <w:tblCellMar>
          <w:top w:w="0" w:type="dxa"/>
          <w:left w:w="0" w:type="dxa"/>
          <w:bottom w:w="0" w:type="dxa"/>
          <w:right w:w="0" w:type="dxa"/>
        </w:tblCellMar>
      </w:tblPr>
      <w:tblGrid>
        <w:gridCol w:w="3780"/>
        <w:gridCol w:w="11680"/>
      </w:tblGrid>
      <w:tr>
        <w:tblPrEx>
          <w:shd w:val="clear"/>
          <w:tblCellMar>
            <w:top w:w="0" w:type="dxa"/>
            <w:left w:w="0" w:type="dxa"/>
            <w:bottom w:w="0" w:type="dxa"/>
            <w:right w:w="0" w:type="dxa"/>
          </w:tblCellMar>
        </w:tblPrEx>
        <w:trPr>
          <w:trHeight w:val="312" w:hRule="atLeast"/>
        </w:trPr>
        <w:tc>
          <w:tcPr>
            <w:tcW w:w="3780" w:type="dxa"/>
            <w:tcBorders>
              <w:top w:val="nil"/>
              <w:left w:val="nil"/>
              <w:bottom w:val="single" w:color="000000" w:sz="4" w:space="0"/>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Sheet name</w:t>
            </w:r>
          </w:p>
        </w:tc>
        <w:tc>
          <w:tcPr>
            <w:tcW w:w="11680" w:type="dxa"/>
            <w:tcBorders>
              <w:top w:val="nil"/>
              <w:left w:val="nil"/>
              <w:bottom w:val="single" w:color="000000" w:sz="4" w:space="0"/>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Description</w:t>
            </w: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FF"/>
                <w:sz w:val="24"/>
                <w:szCs w:val="24"/>
                <w:u w:val="single"/>
              </w:rPr>
            </w:pPr>
            <w:r>
              <w:rPr>
                <w:rFonts w:hint="default" w:ascii="Calibri" w:hAnsi="Calibri" w:eastAsia="SimSun" w:cs="Calibri"/>
                <w:i w:val="0"/>
                <w:kern w:val="0"/>
                <w:sz w:val="24"/>
                <w:szCs w:val="24"/>
                <w:u w:val="single"/>
                <w:bdr w:val="none" w:color="auto" w:sz="0" w:space="0"/>
                <w:lang w:val="en-US" w:eastAsia="zh-CN" w:bidi="ar"/>
              </w:rPr>
              <w:fldChar w:fldCharType="begin"/>
            </w:r>
            <w:r>
              <w:rPr>
                <w:rFonts w:hint="default" w:ascii="Calibri" w:hAnsi="Calibri" w:eastAsia="SimSun" w:cs="Calibri"/>
                <w:i w:val="0"/>
                <w:kern w:val="0"/>
                <w:sz w:val="24"/>
                <w:szCs w:val="24"/>
                <w:u w:val="single"/>
                <w:bdr w:val="none" w:color="auto" w:sz="0" w:space="0"/>
                <w:lang w:val="en-US" w:eastAsia="zh-CN" w:bidi="ar"/>
              </w:rPr>
              <w:instrText xml:space="preserve"> HYPERLINK "" \l "'Wright''s model'!A1" </w:instrText>
            </w:r>
            <w:r>
              <w:rPr>
                <w:rFonts w:hint="default" w:ascii="Calibri" w:hAnsi="Calibri" w:eastAsia="SimSun" w:cs="Calibri"/>
                <w:i w:val="0"/>
                <w:kern w:val="0"/>
                <w:sz w:val="24"/>
                <w:szCs w:val="24"/>
                <w:u w:val="single"/>
                <w:bdr w:val="none" w:color="auto" w:sz="0" w:space="0"/>
                <w:lang w:val="en-US" w:eastAsia="zh-CN" w:bidi="ar"/>
              </w:rPr>
              <w:fldChar w:fldCharType="separate"/>
            </w:r>
            <w:r>
              <w:rPr>
                <w:rStyle w:val="3"/>
                <w:rFonts w:hint="default" w:ascii="Calibri" w:hAnsi="Calibri" w:eastAsia="SimSun" w:cs="Calibri"/>
                <w:i w:val="0"/>
                <w:sz w:val="24"/>
                <w:szCs w:val="24"/>
                <w:u w:val="single"/>
                <w:bdr w:val="none" w:color="auto" w:sz="0" w:space="0"/>
              </w:rPr>
              <w:t>Wright's Model</w:t>
            </w:r>
            <w:r>
              <w:rPr>
                <w:rFonts w:hint="default" w:ascii="Calibri" w:hAnsi="Calibri" w:eastAsia="SimSun" w:cs="Calibri"/>
                <w:i w:val="0"/>
                <w:kern w:val="0"/>
                <w:sz w:val="24"/>
                <w:szCs w:val="24"/>
                <w:u w:val="single"/>
                <w:bdr w:val="none" w:color="auto" w:sz="0" w:space="0"/>
                <w:lang w:val="en-US" w:eastAsia="zh-CN" w:bidi="ar"/>
              </w:rPr>
              <w:fldChar w:fldCharType="end"/>
            </w:r>
          </w:p>
        </w:tc>
        <w:tc>
          <w:tcPr>
            <w:tcW w:w="11680"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Example of Wright's model that allows you to change the learning rate and cost of initial unit.</w:t>
            </w: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168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624"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FF"/>
                <w:sz w:val="24"/>
                <w:szCs w:val="24"/>
                <w:u w:val="single"/>
              </w:rPr>
            </w:pPr>
            <w:r>
              <w:rPr>
                <w:rFonts w:hint="default" w:ascii="Calibri" w:hAnsi="Calibri" w:eastAsia="SimSun" w:cs="Calibri"/>
                <w:i w:val="0"/>
                <w:kern w:val="0"/>
                <w:sz w:val="24"/>
                <w:szCs w:val="24"/>
                <w:u w:val="single"/>
                <w:bdr w:val="none" w:color="auto" w:sz="0" w:space="0"/>
                <w:lang w:val="en-US" w:eastAsia="zh-CN" w:bidi="ar"/>
              </w:rPr>
              <w:fldChar w:fldCharType="begin"/>
            </w:r>
            <w:r>
              <w:rPr>
                <w:rFonts w:hint="default" w:ascii="Calibri" w:hAnsi="Calibri" w:eastAsia="SimSun" w:cs="Calibri"/>
                <w:i w:val="0"/>
                <w:kern w:val="0"/>
                <w:sz w:val="24"/>
                <w:szCs w:val="24"/>
                <w:u w:val="single"/>
                <w:bdr w:val="none" w:color="auto" w:sz="0" w:space="0"/>
                <w:lang w:val="en-US" w:eastAsia="zh-CN" w:bidi="ar"/>
              </w:rPr>
              <w:instrText xml:space="preserve"> HYPERLINK "" \l "'Avg. cost of X2 units'!A1" </w:instrText>
            </w:r>
            <w:r>
              <w:rPr>
                <w:rFonts w:hint="default" w:ascii="Calibri" w:hAnsi="Calibri" w:eastAsia="SimSun" w:cs="Calibri"/>
                <w:i w:val="0"/>
                <w:kern w:val="0"/>
                <w:sz w:val="24"/>
                <w:szCs w:val="24"/>
                <w:u w:val="single"/>
                <w:bdr w:val="none" w:color="auto" w:sz="0" w:space="0"/>
                <w:lang w:val="en-US" w:eastAsia="zh-CN" w:bidi="ar"/>
              </w:rPr>
              <w:fldChar w:fldCharType="separate"/>
            </w:r>
            <w:r>
              <w:rPr>
                <w:rStyle w:val="3"/>
                <w:rFonts w:hint="default" w:ascii="Calibri" w:hAnsi="Calibri" w:eastAsia="SimSun" w:cs="Calibri"/>
                <w:i w:val="0"/>
                <w:sz w:val="24"/>
                <w:szCs w:val="24"/>
                <w:u w:val="single"/>
                <w:bdr w:val="none" w:color="auto" w:sz="0" w:space="0"/>
              </w:rPr>
              <w:t>Average cost of X2 units</w:t>
            </w:r>
            <w:r>
              <w:rPr>
                <w:rFonts w:hint="default" w:ascii="Calibri" w:hAnsi="Calibri" w:eastAsia="SimSun" w:cs="Calibri"/>
                <w:i w:val="0"/>
                <w:kern w:val="0"/>
                <w:sz w:val="24"/>
                <w:szCs w:val="24"/>
                <w:u w:val="single"/>
                <w:bdr w:val="none" w:color="auto" w:sz="0" w:space="0"/>
                <w:lang w:val="en-US" w:eastAsia="zh-CN" w:bidi="ar"/>
              </w:rPr>
              <w:fldChar w:fldCharType="end"/>
            </w:r>
          </w:p>
        </w:tc>
        <w:tc>
          <w:tcPr>
            <w:tcW w:w="11680"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Calculation of cumulative average cost for X2 units when you have information on the average cost for the first X1 units and an assumed learning rate.</w:t>
            </w: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168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FF"/>
                <w:sz w:val="24"/>
                <w:szCs w:val="24"/>
                <w:u w:val="single"/>
              </w:rPr>
            </w:pPr>
            <w:r>
              <w:rPr>
                <w:rFonts w:hint="default" w:ascii="Calibri" w:hAnsi="Calibri" w:eastAsia="SimSun" w:cs="Calibri"/>
                <w:i w:val="0"/>
                <w:kern w:val="0"/>
                <w:sz w:val="24"/>
                <w:szCs w:val="24"/>
                <w:u w:val="single"/>
                <w:bdr w:val="none" w:color="auto" w:sz="0" w:space="0"/>
                <w:lang w:val="en-US" w:eastAsia="zh-CN" w:bidi="ar"/>
              </w:rPr>
              <w:fldChar w:fldCharType="begin"/>
            </w:r>
            <w:r>
              <w:rPr>
                <w:rFonts w:hint="default" w:ascii="Calibri" w:hAnsi="Calibri" w:eastAsia="SimSun" w:cs="Calibri"/>
                <w:i w:val="0"/>
                <w:kern w:val="0"/>
                <w:sz w:val="24"/>
                <w:szCs w:val="24"/>
                <w:u w:val="single"/>
                <w:bdr w:val="none" w:color="auto" w:sz="0" w:space="0"/>
                <w:lang w:val="en-US" w:eastAsia="zh-CN" w:bidi="ar"/>
              </w:rPr>
              <w:instrText xml:space="preserve"> HYPERLINK "" \l "'Incremental costs'!A1" </w:instrText>
            </w:r>
            <w:r>
              <w:rPr>
                <w:rFonts w:hint="default" w:ascii="Calibri" w:hAnsi="Calibri" w:eastAsia="SimSun" w:cs="Calibri"/>
                <w:i w:val="0"/>
                <w:kern w:val="0"/>
                <w:sz w:val="24"/>
                <w:szCs w:val="24"/>
                <w:u w:val="single"/>
                <w:bdr w:val="none" w:color="auto" w:sz="0" w:space="0"/>
                <w:lang w:val="en-US" w:eastAsia="zh-CN" w:bidi="ar"/>
              </w:rPr>
              <w:fldChar w:fldCharType="separate"/>
            </w:r>
            <w:r>
              <w:rPr>
                <w:rStyle w:val="3"/>
                <w:rFonts w:hint="default" w:ascii="Calibri" w:hAnsi="Calibri" w:eastAsia="SimSun" w:cs="Calibri"/>
                <w:i w:val="0"/>
                <w:sz w:val="24"/>
                <w:szCs w:val="24"/>
                <w:u w:val="single"/>
                <w:bdr w:val="none" w:color="auto" w:sz="0" w:space="0"/>
              </w:rPr>
              <w:t>Incremental costs</w:t>
            </w:r>
            <w:r>
              <w:rPr>
                <w:rFonts w:hint="default" w:ascii="Calibri" w:hAnsi="Calibri" w:eastAsia="SimSun" w:cs="Calibri"/>
                <w:i w:val="0"/>
                <w:kern w:val="0"/>
                <w:sz w:val="24"/>
                <w:szCs w:val="24"/>
                <w:u w:val="single"/>
                <w:bdr w:val="none" w:color="auto" w:sz="0" w:space="0"/>
                <w:lang w:val="en-US" w:eastAsia="zh-CN" w:bidi="ar"/>
              </w:rPr>
              <w:fldChar w:fldCharType="end"/>
            </w:r>
          </w:p>
        </w:tc>
        <w:tc>
          <w:tcPr>
            <w:tcW w:w="11680"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Calculating the incremental cost of increasing cumulative production from X1 units to X2 units.</w:t>
            </w: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168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FF"/>
                <w:sz w:val="24"/>
                <w:szCs w:val="24"/>
                <w:u w:val="single"/>
              </w:rPr>
            </w:pPr>
            <w:r>
              <w:rPr>
                <w:rFonts w:hint="default" w:ascii="Calibri" w:hAnsi="Calibri" w:eastAsia="SimSun" w:cs="Calibri"/>
                <w:i w:val="0"/>
                <w:kern w:val="0"/>
                <w:sz w:val="24"/>
                <w:szCs w:val="24"/>
                <w:u w:val="single"/>
                <w:bdr w:val="none" w:color="auto" w:sz="0" w:space="0"/>
                <w:lang w:val="en-US" w:eastAsia="zh-CN" w:bidi="ar"/>
              </w:rPr>
              <w:fldChar w:fldCharType="begin"/>
            </w:r>
            <w:r>
              <w:rPr>
                <w:rFonts w:hint="default" w:ascii="Calibri" w:hAnsi="Calibri" w:eastAsia="SimSun" w:cs="Calibri"/>
                <w:i w:val="0"/>
                <w:kern w:val="0"/>
                <w:sz w:val="24"/>
                <w:szCs w:val="24"/>
                <w:u w:val="single"/>
                <w:bdr w:val="none" w:color="auto" w:sz="0" w:space="0"/>
                <w:lang w:val="en-US" w:eastAsia="zh-CN" w:bidi="ar"/>
              </w:rPr>
              <w:instrText xml:space="preserve"> HYPERLINK "" \l "'Estimating learning rate'!A1" </w:instrText>
            </w:r>
            <w:r>
              <w:rPr>
                <w:rFonts w:hint="default" w:ascii="Calibri" w:hAnsi="Calibri" w:eastAsia="SimSun" w:cs="Calibri"/>
                <w:i w:val="0"/>
                <w:kern w:val="0"/>
                <w:sz w:val="24"/>
                <w:szCs w:val="24"/>
                <w:u w:val="single"/>
                <w:bdr w:val="none" w:color="auto" w:sz="0" w:space="0"/>
                <w:lang w:val="en-US" w:eastAsia="zh-CN" w:bidi="ar"/>
              </w:rPr>
              <w:fldChar w:fldCharType="separate"/>
            </w:r>
            <w:r>
              <w:rPr>
                <w:rStyle w:val="3"/>
                <w:rFonts w:hint="default" w:ascii="Calibri" w:hAnsi="Calibri" w:eastAsia="SimSun" w:cs="Calibri"/>
                <w:i w:val="0"/>
                <w:sz w:val="24"/>
                <w:szCs w:val="24"/>
                <w:u w:val="single"/>
                <w:bdr w:val="none" w:color="auto" w:sz="0" w:space="0"/>
              </w:rPr>
              <w:t>Estimating learning rate, 1</w:t>
            </w:r>
            <w:r>
              <w:rPr>
                <w:rFonts w:hint="default" w:ascii="Calibri" w:hAnsi="Calibri" w:eastAsia="SimSun" w:cs="Calibri"/>
                <w:i w:val="0"/>
                <w:kern w:val="0"/>
                <w:sz w:val="24"/>
                <w:szCs w:val="24"/>
                <w:u w:val="single"/>
                <w:bdr w:val="none" w:color="auto" w:sz="0" w:space="0"/>
                <w:lang w:val="en-US" w:eastAsia="zh-CN" w:bidi="ar"/>
              </w:rPr>
              <w:fldChar w:fldCharType="end"/>
            </w:r>
          </w:p>
        </w:tc>
        <w:tc>
          <w:tcPr>
            <w:tcW w:w="11680"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Estimating the coefficient b and the learning rate from two data points.</w:t>
            </w: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1680" w:type="dxa"/>
            <w:tcBorders>
              <w:top w:val="nil"/>
              <w:left w:val="nil"/>
              <w:bottom w:val="nil"/>
              <w:right w:val="nil"/>
            </w:tcBorders>
            <w:shd w:val="clear"/>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0" w:type="auto"/>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FF"/>
                <w:sz w:val="24"/>
                <w:szCs w:val="24"/>
                <w:u w:val="single"/>
              </w:rPr>
            </w:pPr>
            <w:r>
              <w:rPr>
                <w:rFonts w:hint="default" w:ascii="Calibri" w:hAnsi="Calibri" w:eastAsia="SimSun" w:cs="Calibri"/>
                <w:i w:val="0"/>
                <w:kern w:val="0"/>
                <w:sz w:val="24"/>
                <w:szCs w:val="24"/>
                <w:u w:val="single"/>
                <w:bdr w:val="none" w:color="auto" w:sz="0" w:space="0"/>
                <w:lang w:val="en-US" w:eastAsia="zh-CN" w:bidi="ar"/>
              </w:rPr>
              <w:fldChar w:fldCharType="begin"/>
            </w:r>
            <w:r>
              <w:rPr>
                <w:rFonts w:hint="default" w:ascii="Calibri" w:hAnsi="Calibri" w:eastAsia="SimSun" w:cs="Calibri"/>
                <w:i w:val="0"/>
                <w:kern w:val="0"/>
                <w:sz w:val="24"/>
                <w:szCs w:val="24"/>
                <w:u w:val="single"/>
                <w:bdr w:val="none" w:color="auto" w:sz="0" w:space="0"/>
                <w:lang w:val="en-US" w:eastAsia="zh-CN" w:bidi="ar"/>
              </w:rPr>
              <w:instrText xml:space="preserve"> HYPERLINK "" \l "'Estimating learning rate 2'!A1" </w:instrText>
            </w:r>
            <w:r>
              <w:rPr>
                <w:rFonts w:hint="default" w:ascii="Calibri" w:hAnsi="Calibri" w:eastAsia="SimSun" w:cs="Calibri"/>
                <w:i w:val="0"/>
                <w:kern w:val="0"/>
                <w:sz w:val="24"/>
                <w:szCs w:val="24"/>
                <w:u w:val="single"/>
                <w:bdr w:val="none" w:color="auto" w:sz="0" w:space="0"/>
                <w:lang w:val="en-US" w:eastAsia="zh-CN" w:bidi="ar"/>
              </w:rPr>
              <w:fldChar w:fldCharType="separate"/>
            </w:r>
            <w:r>
              <w:rPr>
                <w:rStyle w:val="3"/>
                <w:rFonts w:hint="default" w:ascii="Calibri" w:hAnsi="Calibri" w:eastAsia="SimSun" w:cs="Calibri"/>
                <w:i w:val="0"/>
                <w:sz w:val="24"/>
                <w:szCs w:val="24"/>
                <w:u w:val="single"/>
                <w:bdr w:val="none" w:color="auto" w:sz="0" w:space="0"/>
              </w:rPr>
              <w:t>Estimating learning rate, 2</w:t>
            </w:r>
            <w:r>
              <w:rPr>
                <w:rFonts w:hint="default" w:ascii="Calibri" w:hAnsi="Calibri" w:eastAsia="SimSun" w:cs="Calibri"/>
                <w:i w:val="0"/>
                <w:kern w:val="0"/>
                <w:sz w:val="24"/>
                <w:szCs w:val="24"/>
                <w:u w:val="single"/>
                <w:bdr w:val="none" w:color="auto" w:sz="0" w:space="0"/>
                <w:lang w:val="en-US" w:eastAsia="zh-CN" w:bidi="ar"/>
              </w:rPr>
              <w:fldChar w:fldCharType="end"/>
            </w:r>
          </w:p>
        </w:tc>
        <w:tc>
          <w:tcPr>
            <w:tcW w:w="11680" w:type="dxa"/>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Estimating the coefficient b and the learning rate from more than two data points.</w:t>
            </w:r>
          </w:p>
        </w:tc>
      </w:tr>
    </w:tbl>
    <w:p/>
    <w:p/>
    <w:p/>
    <w:p/>
    <w:p/>
    <w:p/>
    <w:p/>
    <w:p/>
    <w:p/>
    <w:p/>
    <w:p/>
    <w:p/>
    <w:p/>
    <w:p/>
    <w:p/>
    <w:p/>
    <w:p/>
    <w:p/>
    <w:p/>
    <w:p/>
    <w:tbl>
      <w:tblPr>
        <w:tblW w:w="13982" w:type="dxa"/>
        <w:tblInd w:w="0" w:type="dxa"/>
        <w:shd w:val="clear"/>
        <w:tblLayout w:type="autofit"/>
        <w:tblCellMar>
          <w:top w:w="0" w:type="dxa"/>
          <w:left w:w="0" w:type="dxa"/>
          <w:bottom w:w="0" w:type="dxa"/>
          <w:right w:w="0" w:type="dxa"/>
        </w:tblCellMar>
      </w:tblPr>
      <w:tblGrid>
        <w:gridCol w:w="2940"/>
        <w:gridCol w:w="2792"/>
        <w:gridCol w:w="148"/>
        <w:gridCol w:w="2602"/>
        <w:gridCol w:w="338"/>
        <w:gridCol w:w="2412"/>
        <w:gridCol w:w="528"/>
        <w:gridCol w:w="1320"/>
        <w:gridCol w:w="902"/>
      </w:tblGrid>
      <w:tr>
        <w:tblPrEx>
          <w:tblCellMar>
            <w:top w:w="0" w:type="dxa"/>
            <w:left w:w="0" w:type="dxa"/>
            <w:bottom w:w="0" w:type="dxa"/>
            <w:right w:w="0" w:type="dxa"/>
          </w:tblCellMar>
        </w:tblPrEx>
        <w:trPr>
          <w:trHeight w:val="420"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ascii="Calibri" w:hAnsi="Calibri" w:cs="Calibri"/>
                <w:b/>
                <w:i w:val="0"/>
                <w:color w:val="000000"/>
                <w:sz w:val="32"/>
                <w:szCs w:val="32"/>
                <w:u w:val="none"/>
              </w:rPr>
            </w:pPr>
            <w:r>
              <w:rPr>
                <w:rFonts w:hint="default" w:ascii="Calibri" w:hAnsi="Calibri" w:eastAsia="SimSun" w:cs="Calibri"/>
                <w:b/>
                <w:i w:val="0"/>
                <w:color w:val="000000"/>
                <w:kern w:val="0"/>
                <w:sz w:val="32"/>
                <w:szCs w:val="32"/>
                <w:u w:val="none"/>
                <w:bdr w:val="none" w:color="auto" w:sz="0" w:space="0"/>
                <w:lang w:val="en-US" w:eastAsia="zh-CN" w:bidi="ar"/>
              </w:rPr>
              <w:t>Wright's Learning Curve Model</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1340" w:hRule="atLeast"/>
        </w:trPr>
        <w:tc>
          <w:tcPr>
            <w:tcW w:w="13982" w:type="dxa"/>
            <w:gridSpan w:val="9"/>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In Wright's model, the doubling of production results in a decrease in cumulative average cost equal to 1 minus the learning rate. For example, with a learning rate of 80%, cumulative average costs with 2 cumulative units produced will be 80% of the cost of the first unit, and the cumulative average cost with 4 units produced will be 80% of the cumulative average with 2 units produced.</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Learning rate (e.g, 0.80 for an 80% learning curve)</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0.80</w:t>
            </w: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Resulting equation in the form Y = aX^b,</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Y = aX^-0.322</w:t>
            </w: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ind w:firstLineChars="10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where Y = cumulative average time or cost per unit</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ind w:firstLineChars="10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X = cumulative number of units produced</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ind w:firstLineChars="10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a = time or cost to produce the first unit</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ind w:firstLineChars="10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b = slope of the function when plotted on log-log paper</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ind w:firstLineChars="10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 log of learning rate / log of 2</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ind w:firstLineChars="10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   = natural log of learning rate / natural log of 2</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 xml:space="preserve">You can plug numbers in below to see how it affects total cost, </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Learning rate</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0.90</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Cost to produce the first unit</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$100</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Value of b</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-0.152</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Equation</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Y = 100X^-0.152</w:t>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Cumulative Output, X</w:t>
            </w:r>
          </w:p>
        </w:tc>
        <w:tc>
          <w:tcPr>
            <w:tcW w:w="2750" w:type="dxa"/>
            <w:gridSpan w:val="2"/>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Cumulative Total Cost</w:t>
            </w:r>
          </w:p>
        </w:tc>
        <w:tc>
          <w:tcPr>
            <w:tcW w:w="2750" w:type="dxa"/>
            <w:gridSpan w:val="2"/>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Cumulative Average Cost</w:t>
            </w:r>
          </w:p>
        </w:tc>
        <w:tc>
          <w:tcPr>
            <w:tcW w:w="2750" w:type="dxa"/>
            <w:gridSpan w:val="3"/>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Marginal Cost</w:t>
            </w: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$100</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$100</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$100.00</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$180</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$90.00</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$80.00</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$324</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$81.00</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$68.69</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8</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$583</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$72.90</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$61.82</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16</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$1,050</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$65.61</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$55.64</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32</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$1,890</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$59.05</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$50.07</w:t>
            </w: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64</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$3,401</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$53.14</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$45.07</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128</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$6,122</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$47.83</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$40.56</w:t>
            </w: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256</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$11,020</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$43.05</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$36.50</w:t>
            </w: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512</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$19,836</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$38.74</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$32.85</w:t>
            </w: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1024</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$35,705</w:t>
            </w:r>
          </w:p>
        </w:tc>
        <w:tc>
          <w:tcPr>
            <w:tcW w:w="275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$34.87</w:t>
            </w:r>
          </w:p>
        </w:tc>
        <w:tc>
          <w:tcPr>
            <w:tcW w:w="2750" w:type="dxa"/>
            <w:gridSpan w:val="3"/>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$29.57</w:t>
            </w: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drawing>
                <wp:anchor distT="0" distB="0" distL="114300" distR="114300" simplePos="0" relativeHeight="251658240" behindDoc="0" locked="0" layoutInCell="1" allowOverlap="1">
                  <wp:simplePos x="0" y="0"/>
                  <wp:positionH relativeFrom="column">
                    <wp:posOffset>511810</wp:posOffset>
                  </wp:positionH>
                  <wp:positionV relativeFrom="paragraph">
                    <wp:posOffset>177165</wp:posOffset>
                  </wp:positionV>
                  <wp:extent cx="4563745" cy="2790825"/>
                  <wp:effectExtent l="0" t="0" r="8255" b="13335"/>
                  <wp:wrapNone/>
                  <wp:docPr id="1" name="Chart_1"/>
                  <wp:cNvGraphicFramePr/>
                  <a:graphic xmlns:a="http://schemas.openxmlformats.org/drawingml/2006/main">
                    <a:graphicData uri="http://schemas.openxmlformats.org/drawingml/2006/picture">
                      <pic:pic xmlns:pic="http://schemas.openxmlformats.org/drawingml/2006/picture">
                        <pic:nvPicPr>
                          <pic:cNvPr id="1" name="Chart_1"/>
                          <pic:cNvPicPr/>
                        </pic:nvPicPr>
                        <pic:blipFill>
                          <a:blip r:embed="rId4"/>
                          <a:stretch>
                            <a:fillRect/>
                          </a:stretch>
                        </pic:blipFill>
                        <pic:spPr>
                          <a:xfrm>
                            <a:off x="0" y="0"/>
                            <a:ext cx="4563745" cy="2790825"/>
                          </a:xfrm>
                          <a:prstGeom prst="rect">
                            <a:avLst/>
                          </a:prstGeom>
                          <a:noFill/>
                          <a:ln>
                            <a:noFill/>
                          </a:ln>
                        </pic:spPr>
                      </pic:pic>
                    </a:graphicData>
                  </a:graphic>
                </wp:anchor>
              </w:drawing>
            </w: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trHeight w:val="312" w:hRule="atLeast"/>
        </w:trPr>
        <w:tc>
          <w:tcPr>
            <w:tcW w:w="5732"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750" w:type="dxa"/>
            <w:gridSpan w:val="3"/>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420"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ascii="Calibri" w:hAnsi="Calibri" w:cs="Calibri"/>
                <w:b/>
                <w:i w:val="0"/>
                <w:color w:val="000000"/>
                <w:sz w:val="32"/>
                <w:szCs w:val="32"/>
                <w:u w:val="none"/>
              </w:rPr>
            </w:pPr>
            <w:r>
              <w:rPr>
                <w:rFonts w:hint="default" w:ascii="Calibri" w:hAnsi="Calibri" w:eastAsia="SimSun" w:cs="Calibri"/>
                <w:b/>
                <w:i w:val="0"/>
                <w:color w:val="000000"/>
                <w:kern w:val="0"/>
                <w:sz w:val="32"/>
                <w:szCs w:val="32"/>
                <w:u w:val="none"/>
                <w:bdr w:val="none" w:color="auto" w:sz="0" w:space="0"/>
                <w:lang w:val="en-US" w:eastAsia="zh-CN" w:bidi="ar"/>
              </w:rPr>
              <w:t>Calculation of average cost of producing X2 units</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880" w:hRule="atLeast"/>
        </w:trPr>
        <w:tc>
          <w:tcPr>
            <w:tcW w:w="11760" w:type="dxa"/>
            <w:gridSpan w:val="7"/>
            <w:tcBorders>
              <w:top w:val="nil"/>
              <w:left w:val="nil"/>
              <w:bottom w:val="nil"/>
              <w:right w:val="nil"/>
            </w:tcBorders>
            <w:shd w:val="clear"/>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This is useful if you want to know if producing and selling X2 units will be profitable. The average cost of producing X2 units can be compared to the price received.</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Assumed learning rate (e.g, 0.80 for an 80% learning curve)</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0.80</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&lt;=== input value</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Value for b:</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-0.322</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Calculated from input value</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Average cost of producing the first X1 units:</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$100</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&lt;=== input value</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Value for X1:</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10</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&lt;=== input value</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Value for X2:</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200</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&lt;=== input value</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Cumulative average cost for producing 200 units:</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00"/>
                <w:sz w:val="24"/>
                <w:szCs w:val="24"/>
                <w:u w:val="none"/>
              </w:rPr>
            </w:pPr>
            <w:r>
              <w:rPr>
                <w:rFonts w:hint="default" w:ascii="Calibri" w:hAnsi="Calibri" w:eastAsia="SimSun" w:cs="Calibri"/>
                <w:b/>
                <w:i w:val="0"/>
                <w:color w:val="000000"/>
                <w:kern w:val="0"/>
                <w:sz w:val="24"/>
                <w:szCs w:val="24"/>
                <w:u w:val="none"/>
                <w:bdr w:val="none" w:color="auto" w:sz="0" w:space="0"/>
                <w:lang w:val="en-US" w:eastAsia="zh-CN" w:bidi="ar"/>
              </w:rPr>
              <w:t>$38.12</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===&gt; desired answer</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Style w:val="5"/>
                <w:rFonts w:eastAsia="SimSun"/>
                <w:bdr w:val="none" w:color="auto" w:sz="0" w:space="0"/>
                <w:lang w:val="en-US" w:eastAsia="zh-CN" w:bidi="ar"/>
              </w:rPr>
              <w:t>Variation</w:t>
            </w:r>
            <w:r>
              <w:rPr>
                <w:rStyle w:val="6"/>
                <w:rFonts w:eastAsia="SimSun"/>
                <w:bdr w:val="none" w:color="auto" w:sz="0" w:space="0"/>
                <w:lang w:val="en-US" w:eastAsia="zh-CN" w:bidi="ar"/>
              </w:rPr>
              <w:t>: You can use the above to find what quantity is needed to reach a given cumulative average cost.</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Target cumulative average cost:</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b/>
                <w:i w:val="0"/>
                <w:color w:val="0000FF"/>
                <w:sz w:val="24"/>
                <w:szCs w:val="24"/>
                <w:u w:val="none"/>
              </w:rPr>
            </w:pPr>
            <w:r>
              <w:rPr>
                <w:rFonts w:hint="default" w:ascii="Calibri" w:hAnsi="Calibri" w:eastAsia="SimSun" w:cs="Calibri"/>
                <w:b/>
                <w:i w:val="0"/>
                <w:color w:val="0000FF"/>
                <w:kern w:val="0"/>
                <w:sz w:val="24"/>
                <w:szCs w:val="24"/>
                <w:u w:val="none"/>
                <w:bdr w:val="none" w:color="auto" w:sz="0" w:space="0"/>
                <w:lang w:val="en-US" w:eastAsia="zh-CN" w:bidi="ar"/>
              </w:rPr>
              <w:t>$35.00</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&lt;=== input value</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From here, use Excel's goal seek function to set this cell to 0:</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center"/>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$3.12</w:t>
            </w: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Goal seek this cell to 0.</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by changing cell D13.</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r>
        <w:tblPrEx>
          <w:shd w:val="clear"/>
          <w:tblCellMar>
            <w:top w:w="0" w:type="dxa"/>
            <w:left w:w="0" w:type="dxa"/>
            <w:bottom w:w="0" w:type="dxa"/>
            <w:right w:w="0" w:type="dxa"/>
          </w:tblCellMar>
        </w:tblPrEx>
        <w:trPr>
          <w:gridAfter w:val="1"/>
          <w:wAfter w:w="902" w:type="dxa"/>
          <w:trHeight w:val="312" w:hRule="atLeast"/>
        </w:trPr>
        <w:tc>
          <w:tcPr>
            <w:tcW w:w="2940" w:type="dxa"/>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Required cumulative production:</w:t>
            </w:r>
          </w:p>
        </w:tc>
        <w:tc>
          <w:tcPr>
            <w:tcW w:w="2940" w:type="dxa"/>
            <w:gridSpan w:val="2"/>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jc w:val="center"/>
              <w:rPr>
                <w:rFonts w:hint="default" w:ascii="Calibri" w:hAnsi="Calibri" w:cs="Calibri"/>
                <w:b/>
                <w:i w:val="0"/>
                <w:color w:val="000000"/>
                <w:sz w:val="24"/>
                <w:szCs w:val="24"/>
                <w:u w:val="none"/>
              </w:rPr>
            </w:pPr>
          </w:p>
        </w:tc>
        <w:tc>
          <w:tcPr>
            <w:tcW w:w="2940" w:type="dxa"/>
            <w:gridSpan w:val="2"/>
            <w:tcBorders>
              <w:top w:val="nil"/>
              <w:left w:val="nil"/>
              <w:bottom w:val="nil"/>
              <w:right w:val="nil"/>
            </w:tcBorders>
            <w:shd w:val="clear"/>
            <w:noWrap/>
            <w:tcMar>
              <w:top w:w="12" w:type="dxa"/>
              <w:left w:w="12" w:type="dxa"/>
              <w:right w:w="12" w:type="dxa"/>
            </w:tcMar>
            <w:vAlign w:val="bottom"/>
          </w:tcPr>
          <w:p>
            <w:pPr>
              <w:keepNext w:val="0"/>
              <w:keepLines w:val="0"/>
              <w:widowControl/>
              <w:suppressLineNumbers w:val="0"/>
              <w:jc w:val="left"/>
              <w:textAlignment w:val="bottom"/>
              <w:rPr>
                <w:rFonts w:hint="default" w:ascii="Calibri" w:hAnsi="Calibri" w:cs="Calibri"/>
                <w:i w:val="0"/>
                <w:color w:val="000000"/>
                <w:sz w:val="24"/>
                <w:szCs w:val="24"/>
                <w:u w:val="none"/>
              </w:rPr>
            </w:pPr>
            <w:r>
              <w:rPr>
                <w:rFonts w:hint="default" w:ascii="Calibri" w:hAnsi="Calibri" w:eastAsia="SimSun" w:cs="Calibri"/>
                <w:i w:val="0"/>
                <w:color w:val="000000"/>
                <w:kern w:val="0"/>
                <w:sz w:val="24"/>
                <w:szCs w:val="24"/>
                <w:u w:val="none"/>
                <w:bdr w:val="none" w:color="auto" w:sz="0" w:space="0"/>
                <w:lang w:val="en-US" w:eastAsia="zh-CN" w:bidi="ar"/>
              </w:rPr>
              <w:t>==&gt; resulting answer when D22 = 0.</w:t>
            </w:r>
          </w:p>
        </w:tc>
        <w:tc>
          <w:tcPr>
            <w:tcW w:w="1320" w:type="dxa"/>
            <w:tcBorders>
              <w:top w:val="nil"/>
              <w:left w:val="nil"/>
              <w:bottom w:val="nil"/>
              <w:right w:val="nil"/>
            </w:tcBorders>
            <w:shd w:val="clear"/>
            <w:noWrap/>
            <w:tcMar>
              <w:top w:w="12" w:type="dxa"/>
              <w:left w:w="12" w:type="dxa"/>
              <w:right w:w="12" w:type="dxa"/>
            </w:tcMar>
            <w:vAlign w:val="bottom"/>
          </w:tcPr>
          <w:p>
            <w:pPr>
              <w:rPr>
                <w:rFonts w:hint="default" w:ascii="Calibri" w:hAnsi="Calibri" w:cs="Calibri"/>
                <w:i w:val="0"/>
                <w:color w:val="000000"/>
                <w:sz w:val="24"/>
                <w:szCs w:val="24"/>
                <w:u w:val="none"/>
              </w:rPr>
            </w:pPr>
          </w:p>
        </w:tc>
      </w:tr>
    </w:tbl>
    <w:p/>
    <w:p/>
    <w:p>
      <w:bookmarkStart w:id="0" w:name="_GoBack"/>
      <w:bookmarkEnd w:id="0"/>
    </w:p>
    <w:sectPr>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C85263"/>
    <w:rsid w:val="45C85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3">
    <w:name w:val="Hyperlink"/>
    <w:basedOn w:val="2"/>
    <w:uiPriority w:val="0"/>
    <w:rPr>
      <w:color w:val="0000FF"/>
      <w:u w:val="single"/>
    </w:rPr>
  </w:style>
  <w:style w:type="character" w:customStyle="1" w:styleId="5">
    <w:name w:val="font01"/>
    <w:uiPriority w:val="0"/>
    <w:rPr>
      <w:rFonts w:hint="default" w:ascii="Calibri" w:hAnsi="Calibri" w:cs="Calibri"/>
      <w:b/>
      <w:color w:val="000000"/>
      <w:sz w:val="24"/>
      <w:szCs w:val="24"/>
      <w:u w:val="none"/>
    </w:rPr>
  </w:style>
  <w:style w:type="character" w:customStyle="1" w:styleId="6">
    <w:name w:val="font31"/>
    <w:uiPriority w:val="0"/>
    <w:rPr>
      <w:rFonts w:hint="default"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Office_11.2.0.9396_F1E327BC-269C-435d-A152-05C5408002CA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2020-06-02T19:57:00Z</dcterms:created>
  <dc:creator>kanto</dc:creator>
  <cp:lastModifiedBy>kanto</cp:lastModifiedBy>
  <dcterms:modified xsi:type="dcterms:W3CDTF">2020-06-02T20:01:49Z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